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44F" w:rsidRDefault="00CA5C3C" w:rsidP="0083644F">
      <w:pPr>
        <w:pStyle w:val="Heading1"/>
        <w:jc w:val="center"/>
        <w:rPr>
          <w:b/>
          <w:bCs/>
          <w:szCs w:val="28"/>
        </w:rPr>
      </w:pPr>
      <w:r w:rsidRPr="0092362C">
        <w:rPr>
          <w:b/>
          <w:bCs/>
          <w:szCs w:val="28"/>
        </w:rPr>
        <w:t xml:space="preserve">COLUMBIA </w:t>
      </w:r>
      <w:r w:rsidR="0083644F">
        <w:rPr>
          <w:b/>
          <w:bCs/>
          <w:szCs w:val="28"/>
        </w:rPr>
        <w:t>ECONOMIC</w:t>
      </w:r>
    </w:p>
    <w:p w:rsidR="00CA5C3C" w:rsidRPr="0092362C" w:rsidRDefault="0083644F" w:rsidP="0083644F">
      <w:pPr>
        <w:pStyle w:val="Heading1"/>
        <w:jc w:val="center"/>
        <w:rPr>
          <w:b/>
          <w:bCs/>
          <w:szCs w:val="28"/>
        </w:rPr>
      </w:pPr>
      <w:r>
        <w:rPr>
          <w:b/>
          <w:bCs/>
          <w:szCs w:val="28"/>
        </w:rPr>
        <w:t xml:space="preserve">DEVELOPMENT </w:t>
      </w:r>
      <w:r w:rsidR="00CA5C3C" w:rsidRPr="0092362C">
        <w:rPr>
          <w:b/>
          <w:bCs/>
          <w:szCs w:val="28"/>
        </w:rPr>
        <w:t>CORPORATION</w:t>
      </w:r>
      <w:bookmarkStart w:id="0" w:name="_GoBack"/>
      <w:bookmarkEnd w:id="0"/>
    </w:p>
    <w:p w:rsidR="00CA5C3C" w:rsidRPr="0092362C" w:rsidRDefault="00CA5C3C" w:rsidP="00CA5C3C">
      <w:pPr>
        <w:pStyle w:val="Heading2"/>
        <w:jc w:val="center"/>
        <w:rPr>
          <w:sz w:val="28"/>
          <w:szCs w:val="28"/>
        </w:rPr>
      </w:pPr>
      <w:r>
        <w:rPr>
          <w:sz w:val="28"/>
          <w:szCs w:val="28"/>
        </w:rPr>
        <w:t>2019 Investment</w:t>
      </w:r>
      <w:r w:rsidRPr="0092362C">
        <w:rPr>
          <w:sz w:val="28"/>
          <w:szCs w:val="28"/>
        </w:rPr>
        <w:t xml:space="preserve"> </w:t>
      </w:r>
      <w:r>
        <w:rPr>
          <w:sz w:val="28"/>
          <w:szCs w:val="28"/>
        </w:rPr>
        <w:t>Report</w:t>
      </w:r>
      <w:r w:rsidRPr="0092362C">
        <w:rPr>
          <w:sz w:val="28"/>
          <w:szCs w:val="28"/>
        </w:rPr>
        <w:t xml:space="preserve"> </w:t>
      </w:r>
    </w:p>
    <w:p w:rsidR="00CA5C3C" w:rsidRDefault="00CA5C3C" w:rsidP="00CA5C3C">
      <w:pPr>
        <w:pStyle w:val="Heading2"/>
        <w:jc w:val="center"/>
      </w:pPr>
    </w:p>
    <w:p w:rsidR="00D36CDA" w:rsidRPr="00D36CDA" w:rsidRDefault="00D36CDA" w:rsidP="00D36CDA">
      <w:pPr>
        <w:spacing w:after="160" w:line="259" w:lineRule="auto"/>
        <w:rPr>
          <w:rFonts w:eastAsiaTheme="minorHAnsi"/>
        </w:rPr>
      </w:pPr>
      <w:r w:rsidRPr="00D36CDA">
        <w:rPr>
          <w:rFonts w:eastAsiaTheme="minorHAnsi"/>
        </w:rPr>
        <w:t xml:space="preserve">In accordance with Section 2925 of the Public Authorities Law; Sections 10, 11 and 858-a of General Municipal Law, the </w:t>
      </w:r>
      <w:r>
        <w:rPr>
          <w:rFonts w:eastAsiaTheme="minorHAnsi"/>
        </w:rPr>
        <w:t xml:space="preserve">Columbia </w:t>
      </w:r>
      <w:r w:rsidR="0083644F">
        <w:rPr>
          <w:rFonts w:eastAsiaTheme="minorHAnsi"/>
        </w:rPr>
        <w:t>Economic Development</w:t>
      </w:r>
      <w:r>
        <w:rPr>
          <w:rFonts w:eastAsiaTheme="minorHAnsi"/>
        </w:rPr>
        <w:t xml:space="preserve"> Corporation</w:t>
      </w:r>
      <w:r w:rsidRPr="00D36CDA">
        <w:rPr>
          <w:rFonts w:eastAsiaTheme="minorHAnsi"/>
        </w:rPr>
        <w:t xml:space="preserve"> has prepared an annual Investment Report for 2019.  </w:t>
      </w:r>
    </w:p>
    <w:p w:rsidR="00D36CDA" w:rsidRPr="00D36CDA" w:rsidRDefault="00D36CDA" w:rsidP="00D36CDA">
      <w:pPr>
        <w:spacing w:after="160" w:line="259" w:lineRule="auto"/>
        <w:rPr>
          <w:rFonts w:eastAsiaTheme="minorHAnsi"/>
        </w:rPr>
      </w:pPr>
      <w:r w:rsidRPr="00D36CDA">
        <w:rPr>
          <w:rFonts w:eastAsiaTheme="minorHAnsi"/>
        </w:rPr>
        <w:t xml:space="preserve">The </w:t>
      </w:r>
      <w:r>
        <w:rPr>
          <w:rFonts w:eastAsiaTheme="minorHAnsi"/>
        </w:rPr>
        <w:t xml:space="preserve">Columbia </w:t>
      </w:r>
      <w:r w:rsidR="0083644F">
        <w:rPr>
          <w:rFonts w:eastAsiaTheme="minorHAnsi"/>
        </w:rPr>
        <w:t xml:space="preserve">Economic Development </w:t>
      </w:r>
      <w:r>
        <w:rPr>
          <w:rFonts w:eastAsiaTheme="minorHAnsi"/>
        </w:rPr>
        <w:t>Corporation</w:t>
      </w:r>
      <w:r w:rsidRPr="00D36CDA">
        <w:rPr>
          <w:rFonts w:eastAsiaTheme="minorHAnsi"/>
        </w:rPr>
        <w:t xml:space="preserve"> Investment Policy was approved on </w:t>
      </w:r>
      <w:r>
        <w:rPr>
          <w:rFonts w:eastAsiaTheme="minorHAnsi"/>
        </w:rPr>
        <w:t>February</w:t>
      </w:r>
      <w:r w:rsidRPr="00D36CDA">
        <w:rPr>
          <w:rFonts w:eastAsiaTheme="minorHAnsi"/>
        </w:rPr>
        <w:t xml:space="preserve"> </w:t>
      </w:r>
      <w:r>
        <w:rPr>
          <w:rFonts w:eastAsiaTheme="minorHAnsi"/>
        </w:rPr>
        <w:t>5</w:t>
      </w:r>
      <w:r w:rsidRPr="00D36CDA">
        <w:rPr>
          <w:rFonts w:eastAsiaTheme="minorHAnsi"/>
        </w:rPr>
        <w:t>, 201</w:t>
      </w:r>
      <w:r>
        <w:rPr>
          <w:rFonts w:eastAsiaTheme="minorHAnsi"/>
        </w:rPr>
        <w:t>5</w:t>
      </w:r>
      <w:r w:rsidRPr="00D36CDA">
        <w:rPr>
          <w:rFonts w:eastAsiaTheme="minorHAnsi"/>
        </w:rPr>
        <w:t xml:space="preserve">. </w:t>
      </w:r>
    </w:p>
    <w:p w:rsidR="00D36CDA" w:rsidRPr="00D36CDA" w:rsidRDefault="00D36CDA" w:rsidP="00D36CDA">
      <w:pPr>
        <w:spacing w:after="160" w:line="259" w:lineRule="auto"/>
        <w:rPr>
          <w:rFonts w:eastAsiaTheme="minorHAnsi"/>
        </w:rPr>
      </w:pPr>
      <w:r w:rsidRPr="00D36CDA">
        <w:rPr>
          <w:rFonts w:eastAsiaTheme="minorHAnsi"/>
        </w:rPr>
        <w:t xml:space="preserve">The Policy </w:t>
      </w:r>
      <w:r w:rsidR="0005133E">
        <w:rPr>
          <w:rFonts w:eastAsiaTheme="minorHAnsi"/>
        </w:rPr>
        <w:t>was</w:t>
      </w:r>
      <w:r w:rsidRPr="00D36CDA">
        <w:rPr>
          <w:rFonts w:eastAsiaTheme="minorHAnsi"/>
        </w:rPr>
        <w:t xml:space="preserve"> amended </w:t>
      </w:r>
      <w:r w:rsidR="0083644F">
        <w:rPr>
          <w:rFonts w:eastAsiaTheme="minorHAnsi"/>
        </w:rPr>
        <w:t>on October 29, 2019.  Section VI was corrected to reflect the name changes of the Authorize</w:t>
      </w:r>
      <w:r w:rsidR="0005133E">
        <w:rPr>
          <w:rFonts w:eastAsiaTheme="minorHAnsi"/>
        </w:rPr>
        <w:t>d</w:t>
      </w:r>
      <w:r w:rsidR="0083644F">
        <w:rPr>
          <w:rFonts w:eastAsiaTheme="minorHAnsi"/>
        </w:rPr>
        <w:t xml:space="preserve"> Depositories.  No other amendments were made since the policy was </w:t>
      </w:r>
      <w:r w:rsidRPr="00D36CDA">
        <w:rPr>
          <w:rFonts w:eastAsiaTheme="minorHAnsi"/>
        </w:rPr>
        <w:t xml:space="preserve">reviewed and adopted on </w:t>
      </w:r>
      <w:r>
        <w:rPr>
          <w:rFonts w:eastAsiaTheme="minorHAnsi"/>
        </w:rPr>
        <w:t>February</w:t>
      </w:r>
      <w:r w:rsidRPr="00D36CDA">
        <w:rPr>
          <w:rFonts w:eastAsiaTheme="minorHAnsi"/>
        </w:rPr>
        <w:t xml:space="preserve"> </w:t>
      </w:r>
      <w:r>
        <w:rPr>
          <w:rFonts w:eastAsiaTheme="minorHAnsi"/>
        </w:rPr>
        <w:t>5</w:t>
      </w:r>
      <w:r w:rsidRPr="00D36CDA">
        <w:rPr>
          <w:rFonts w:eastAsiaTheme="minorHAnsi"/>
        </w:rPr>
        <w:t xml:space="preserve">, 2019.  </w:t>
      </w:r>
    </w:p>
    <w:p w:rsidR="00D36CDA" w:rsidRPr="00D36CDA" w:rsidRDefault="00D36CDA" w:rsidP="00D36CDA">
      <w:pPr>
        <w:spacing w:after="160" w:line="259" w:lineRule="auto"/>
        <w:rPr>
          <w:rFonts w:eastAsiaTheme="minorHAnsi"/>
        </w:rPr>
      </w:pPr>
      <w:r w:rsidRPr="00D36CDA">
        <w:rPr>
          <w:rFonts w:eastAsiaTheme="minorHAnsi"/>
        </w:rPr>
        <w:t xml:space="preserve">The </w:t>
      </w:r>
      <w:r w:rsidR="0083644F">
        <w:rPr>
          <w:rFonts w:eastAsiaTheme="minorHAnsi"/>
        </w:rPr>
        <w:t xml:space="preserve">amended </w:t>
      </w:r>
      <w:r w:rsidRPr="00D36CDA">
        <w:rPr>
          <w:rFonts w:eastAsiaTheme="minorHAnsi"/>
        </w:rPr>
        <w:t>Investment Policy has been attached to this document as Schedule A.</w:t>
      </w:r>
    </w:p>
    <w:p w:rsidR="00D36CDA" w:rsidRPr="00D36CDA" w:rsidRDefault="00D36CDA" w:rsidP="00D36CDA">
      <w:pPr>
        <w:spacing w:after="160" w:line="259" w:lineRule="auto"/>
        <w:rPr>
          <w:rFonts w:eastAsiaTheme="minorHAnsi"/>
        </w:rPr>
      </w:pPr>
      <w:r w:rsidRPr="00D36CDA">
        <w:rPr>
          <w:rFonts w:eastAsiaTheme="minorHAnsi"/>
        </w:rPr>
        <w:t>The 2019 Annual Financial Audit is attached as Schedule B.</w:t>
      </w:r>
    </w:p>
    <w:p w:rsidR="00D36CDA" w:rsidRPr="00D36CDA" w:rsidRDefault="00D36CDA" w:rsidP="00D36CDA">
      <w:pPr>
        <w:spacing w:after="160" w:line="259" w:lineRule="auto"/>
        <w:rPr>
          <w:rFonts w:eastAsiaTheme="minorHAnsi"/>
        </w:rPr>
      </w:pPr>
    </w:p>
    <w:p w:rsidR="00D36CDA" w:rsidRPr="00D36CDA" w:rsidRDefault="00D36CDA" w:rsidP="00D36CDA">
      <w:pPr>
        <w:spacing w:after="160" w:line="259" w:lineRule="auto"/>
        <w:rPr>
          <w:rFonts w:eastAsiaTheme="minorHAnsi"/>
        </w:rPr>
      </w:pPr>
      <w:r w:rsidRPr="00D36CDA">
        <w:rPr>
          <w:rFonts w:eastAsiaTheme="minorHAnsi"/>
        </w:rPr>
        <w:t xml:space="preserve">The </w:t>
      </w:r>
      <w:r w:rsidR="004E7149">
        <w:rPr>
          <w:rFonts w:eastAsiaTheme="minorHAnsi"/>
        </w:rPr>
        <w:t>Corporation</w:t>
      </w:r>
      <w:r w:rsidRPr="00D36CDA">
        <w:rPr>
          <w:rFonts w:eastAsiaTheme="minorHAnsi"/>
        </w:rPr>
        <w:t xml:space="preserve"> generated $</w:t>
      </w:r>
      <w:r w:rsidR="005927B5">
        <w:rPr>
          <w:rFonts w:eastAsiaTheme="minorHAnsi"/>
        </w:rPr>
        <w:t xml:space="preserve"> 26,743.00</w:t>
      </w:r>
      <w:r w:rsidRPr="00D36CDA">
        <w:rPr>
          <w:rFonts w:eastAsiaTheme="minorHAnsi"/>
        </w:rPr>
        <w:t xml:space="preserve"> in interest income for the period January 1, 2019 – December 31, 2019.</w:t>
      </w:r>
    </w:p>
    <w:p w:rsidR="00D36CDA" w:rsidRPr="00D36CDA" w:rsidRDefault="00D36CDA" w:rsidP="00D36CDA">
      <w:pPr>
        <w:spacing w:after="160" w:line="259" w:lineRule="auto"/>
        <w:rPr>
          <w:rFonts w:eastAsiaTheme="minorHAnsi"/>
        </w:rPr>
      </w:pPr>
    </w:p>
    <w:p w:rsidR="000A4620" w:rsidRDefault="00D36CDA" w:rsidP="000A4620">
      <w:pPr>
        <w:spacing w:after="160" w:line="259" w:lineRule="auto"/>
        <w:rPr>
          <w:rFonts w:eastAsiaTheme="minorHAnsi"/>
        </w:rPr>
      </w:pPr>
      <w:r w:rsidRPr="00D36CDA">
        <w:rPr>
          <w:rFonts w:eastAsiaTheme="minorHAnsi"/>
        </w:rPr>
        <w:t>Bank Name</w:t>
      </w:r>
      <w:r w:rsidRPr="00D36CDA">
        <w:rPr>
          <w:rFonts w:eastAsiaTheme="minorHAnsi"/>
        </w:rPr>
        <w:tab/>
      </w:r>
      <w:r w:rsidRPr="00D36CDA">
        <w:rPr>
          <w:rFonts w:eastAsiaTheme="minorHAnsi"/>
        </w:rPr>
        <w:tab/>
      </w:r>
      <w:r w:rsidRPr="00D36CDA">
        <w:rPr>
          <w:rFonts w:eastAsiaTheme="minorHAnsi"/>
        </w:rPr>
        <w:tab/>
      </w:r>
      <w:r w:rsidRPr="00D36CDA">
        <w:rPr>
          <w:rFonts w:eastAsiaTheme="minorHAnsi"/>
        </w:rPr>
        <w:tab/>
        <w:t>Amount Generated</w:t>
      </w:r>
      <w:r w:rsidR="005927B5">
        <w:rPr>
          <w:rFonts w:eastAsiaTheme="minorHAnsi"/>
        </w:rPr>
        <w:tab/>
      </w:r>
      <w:r w:rsidR="005927B5">
        <w:rPr>
          <w:rFonts w:eastAsiaTheme="minorHAnsi"/>
        </w:rPr>
        <w:tab/>
        <w:t>Fees</w:t>
      </w:r>
    </w:p>
    <w:p w:rsidR="000A4620" w:rsidRDefault="000A4620" w:rsidP="000A4620">
      <w:pPr>
        <w:pStyle w:val="NoSpacing"/>
      </w:pPr>
      <w:r>
        <w:t>Community Bank</w:t>
      </w:r>
      <w:r>
        <w:tab/>
      </w:r>
      <w:r>
        <w:tab/>
      </w:r>
      <w:r>
        <w:tab/>
        <w:t>$</w:t>
      </w:r>
      <w:r w:rsidR="005927B5">
        <w:t>14,069.00</w:t>
      </w:r>
      <w:r w:rsidR="005927B5">
        <w:tab/>
      </w:r>
      <w:r w:rsidR="005927B5">
        <w:tab/>
      </w:r>
      <w:r w:rsidR="005927B5">
        <w:tab/>
        <w:t>$ 0.00</w:t>
      </w:r>
    </w:p>
    <w:p w:rsidR="000A4620" w:rsidRPr="000A4620" w:rsidRDefault="000A4620" w:rsidP="000A4620">
      <w:pPr>
        <w:pStyle w:val="NoSpacing"/>
        <w:rPr>
          <w:rFonts w:eastAsiaTheme="minorHAnsi"/>
        </w:rPr>
      </w:pPr>
      <w:r>
        <w:t>Key Bank</w:t>
      </w:r>
      <w:r>
        <w:tab/>
      </w:r>
      <w:r>
        <w:tab/>
      </w:r>
      <w:r>
        <w:tab/>
      </w:r>
      <w:r>
        <w:tab/>
      </w:r>
      <w:r w:rsidR="005927B5">
        <w:t>$8,667.00</w:t>
      </w:r>
      <w:r w:rsidR="005927B5">
        <w:tab/>
      </w:r>
      <w:r w:rsidR="005927B5">
        <w:tab/>
      </w:r>
      <w:r w:rsidR="005927B5">
        <w:tab/>
        <w:t>$1,225.00</w:t>
      </w:r>
    </w:p>
    <w:p w:rsidR="000A4620" w:rsidRDefault="000A4620" w:rsidP="000A4620">
      <w:pPr>
        <w:pStyle w:val="NoSpacing"/>
      </w:pPr>
      <w:r>
        <w:t>TD Bank</w:t>
      </w:r>
      <w:r>
        <w:tab/>
      </w:r>
      <w:r>
        <w:tab/>
      </w:r>
      <w:r>
        <w:tab/>
      </w:r>
      <w:r>
        <w:tab/>
        <w:t>$</w:t>
      </w:r>
      <w:r w:rsidR="005927B5">
        <w:t>0.00</w:t>
      </w:r>
      <w:r w:rsidR="005927B5">
        <w:tab/>
      </w:r>
      <w:r w:rsidR="005927B5">
        <w:tab/>
      </w:r>
      <w:r w:rsidR="005927B5">
        <w:tab/>
      </w:r>
      <w:r w:rsidR="005927B5">
        <w:tab/>
        <w:t>$0.00</w:t>
      </w:r>
    </w:p>
    <w:p w:rsidR="000A4620" w:rsidRDefault="000A4620" w:rsidP="000A4620">
      <w:pPr>
        <w:pStyle w:val="NoSpacing"/>
      </w:pPr>
      <w:r>
        <w:t>The Bank of Greene County</w:t>
      </w:r>
      <w:r>
        <w:tab/>
      </w:r>
      <w:r>
        <w:tab/>
        <w:t>$</w:t>
      </w:r>
      <w:r w:rsidR="005927B5">
        <w:t>2,978.00</w:t>
      </w:r>
      <w:r w:rsidR="005927B5">
        <w:tab/>
      </w:r>
      <w:r w:rsidR="005927B5">
        <w:tab/>
      </w:r>
      <w:r w:rsidR="005927B5">
        <w:tab/>
        <w:t>$0.00</w:t>
      </w:r>
    </w:p>
    <w:p w:rsidR="000A4620" w:rsidRPr="0092362C" w:rsidRDefault="000A4620" w:rsidP="000A4620">
      <w:pPr>
        <w:pStyle w:val="NoSpacing"/>
      </w:pPr>
      <w:r>
        <w:t>Berkshire Bank</w:t>
      </w:r>
      <w:r>
        <w:tab/>
      </w:r>
      <w:r>
        <w:tab/>
      </w:r>
      <w:r>
        <w:tab/>
        <w:t>$</w:t>
      </w:r>
      <w:r w:rsidR="005927B5">
        <w:t>1,029.00</w:t>
      </w:r>
      <w:r w:rsidR="005927B5">
        <w:tab/>
      </w:r>
      <w:r w:rsidR="005927B5">
        <w:tab/>
      </w:r>
      <w:r w:rsidR="005927B5">
        <w:tab/>
        <w:t>$0.00</w:t>
      </w:r>
    </w:p>
    <w:p w:rsidR="00D36CDA" w:rsidRDefault="00D36CDA" w:rsidP="00D36CDA"/>
    <w:p w:rsidR="006C39EF" w:rsidRDefault="006C39EF" w:rsidP="006C39EF"/>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Default="00D36CDA" w:rsidP="00D36CDA"/>
    <w:p w:rsidR="00D36CDA" w:rsidRPr="006C39EF" w:rsidRDefault="00D36CDA" w:rsidP="006C39EF">
      <w:pPr>
        <w:jc w:val="center"/>
        <w:rPr>
          <w:b/>
        </w:rPr>
      </w:pPr>
      <w:r w:rsidRPr="006C39EF">
        <w:rPr>
          <w:b/>
        </w:rPr>
        <w:lastRenderedPageBreak/>
        <w:t xml:space="preserve">Schedule </w:t>
      </w:r>
      <w:r w:rsidR="006C39EF" w:rsidRPr="006C39EF">
        <w:rPr>
          <w:b/>
        </w:rPr>
        <w:t>A</w:t>
      </w:r>
    </w:p>
    <w:p w:rsidR="00D36CDA" w:rsidRPr="00D36CDA" w:rsidRDefault="00D36CDA" w:rsidP="00D36CDA"/>
    <w:p w:rsidR="005927B5" w:rsidRPr="005927B5" w:rsidRDefault="005927B5" w:rsidP="005927B5">
      <w:pPr>
        <w:keepNext/>
        <w:jc w:val="center"/>
        <w:outlineLvl w:val="0"/>
        <w:rPr>
          <w:b/>
          <w:bCs/>
          <w:sz w:val="28"/>
        </w:rPr>
      </w:pPr>
      <w:r w:rsidRPr="005927B5">
        <w:rPr>
          <w:b/>
          <w:bCs/>
          <w:sz w:val="28"/>
          <w:szCs w:val="28"/>
        </w:rPr>
        <w:t>COLUMBIA</w:t>
      </w:r>
      <w:r w:rsidRPr="005927B5">
        <w:rPr>
          <w:b/>
          <w:bCs/>
        </w:rPr>
        <w:t xml:space="preserve"> </w:t>
      </w:r>
      <w:r w:rsidRPr="005927B5">
        <w:rPr>
          <w:b/>
          <w:bCs/>
          <w:sz w:val="28"/>
        </w:rPr>
        <w:t>ECONOMIC DEVELOPMENT CORPORATION</w:t>
      </w:r>
    </w:p>
    <w:p w:rsidR="005927B5" w:rsidRPr="005927B5" w:rsidRDefault="005927B5" w:rsidP="005927B5">
      <w:pPr>
        <w:keepNext/>
        <w:jc w:val="center"/>
        <w:outlineLvl w:val="1"/>
        <w:rPr>
          <w:b/>
          <w:bCs/>
        </w:rPr>
      </w:pPr>
      <w:r w:rsidRPr="005927B5">
        <w:rPr>
          <w:b/>
          <w:bCs/>
        </w:rPr>
        <w:t xml:space="preserve">INVESTMENT POLICY </w:t>
      </w:r>
    </w:p>
    <w:p w:rsidR="005927B5" w:rsidRPr="005927B5" w:rsidRDefault="005927B5" w:rsidP="005927B5">
      <w:pPr>
        <w:keepNext/>
        <w:jc w:val="center"/>
        <w:outlineLvl w:val="1"/>
        <w:rPr>
          <w:b/>
          <w:bCs/>
        </w:rPr>
      </w:pPr>
    </w:p>
    <w:p w:rsidR="005927B5" w:rsidRPr="005927B5" w:rsidRDefault="005927B5" w:rsidP="005927B5">
      <w:pPr>
        <w:keepNext/>
        <w:numPr>
          <w:ilvl w:val="0"/>
          <w:numId w:val="1"/>
        </w:numPr>
        <w:outlineLvl w:val="1"/>
        <w:rPr>
          <w:b/>
          <w:bCs/>
          <w:sz w:val="22"/>
        </w:rPr>
      </w:pPr>
      <w:r w:rsidRPr="005927B5">
        <w:rPr>
          <w:b/>
          <w:bCs/>
          <w:sz w:val="22"/>
        </w:rPr>
        <w:t xml:space="preserve">Scope </w:t>
      </w:r>
    </w:p>
    <w:p w:rsidR="005927B5" w:rsidRPr="005927B5" w:rsidRDefault="005927B5" w:rsidP="005927B5">
      <w:pPr>
        <w:keepNext/>
        <w:ind w:left="720"/>
        <w:outlineLvl w:val="1"/>
        <w:rPr>
          <w:b/>
          <w:bCs/>
          <w:sz w:val="22"/>
        </w:rPr>
      </w:pPr>
    </w:p>
    <w:p w:rsidR="005927B5" w:rsidRPr="005927B5" w:rsidRDefault="005927B5" w:rsidP="005927B5">
      <w:pPr>
        <w:keepNext/>
        <w:ind w:left="720"/>
        <w:outlineLvl w:val="1"/>
        <w:rPr>
          <w:sz w:val="22"/>
        </w:rPr>
      </w:pPr>
      <w:r w:rsidRPr="005927B5">
        <w:rPr>
          <w:sz w:val="22"/>
        </w:rPr>
        <w:t>This investment policy applies to all moneys and other financial resources available for investment by the Columbia Economic Development Corporation (the “Corporation”).</w:t>
      </w:r>
    </w:p>
    <w:p w:rsidR="005927B5" w:rsidRPr="005927B5" w:rsidRDefault="005927B5" w:rsidP="005927B5">
      <w:pPr>
        <w:rPr>
          <w:sz w:val="22"/>
        </w:rPr>
      </w:pPr>
      <w:r w:rsidRPr="005927B5">
        <w:rPr>
          <w:sz w:val="22"/>
        </w:rPr>
        <w:t xml:space="preserve">      </w:t>
      </w:r>
    </w:p>
    <w:p w:rsidR="005927B5" w:rsidRPr="005927B5" w:rsidRDefault="005927B5" w:rsidP="005927B5">
      <w:pPr>
        <w:keepNext/>
        <w:numPr>
          <w:ilvl w:val="0"/>
          <w:numId w:val="1"/>
        </w:numPr>
        <w:outlineLvl w:val="1"/>
        <w:rPr>
          <w:b/>
          <w:bCs/>
          <w:sz w:val="22"/>
        </w:rPr>
      </w:pPr>
      <w:r w:rsidRPr="005927B5">
        <w:rPr>
          <w:b/>
          <w:bCs/>
          <w:sz w:val="22"/>
        </w:rPr>
        <w:t>Objectives</w:t>
      </w:r>
    </w:p>
    <w:p w:rsidR="005927B5" w:rsidRPr="005927B5" w:rsidRDefault="005927B5" w:rsidP="005927B5">
      <w:pPr>
        <w:rPr>
          <w:b/>
          <w:bCs/>
          <w:sz w:val="22"/>
        </w:rPr>
      </w:pPr>
    </w:p>
    <w:p w:rsidR="005927B5" w:rsidRPr="005927B5" w:rsidRDefault="005927B5" w:rsidP="005927B5">
      <w:pPr>
        <w:ind w:left="720"/>
        <w:rPr>
          <w:sz w:val="22"/>
        </w:rPr>
      </w:pPr>
      <w:r w:rsidRPr="005927B5">
        <w:rPr>
          <w:sz w:val="22"/>
        </w:rPr>
        <w:t>The primary objectives of the Corporation’s investment activities are, in priority order.</w:t>
      </w:r>
    </w:p>
    <w:p w:rsidR="005927B5" w:rsidRPr="005927B5" w:rsidRDefault="005927B5" w:rsidP="005927B5">
      <w:pPr>
        <w:ind w:left="720"/>
        <w:rPr>
          <w:sz w:val="22"/>
        </w:rPr>
      </w:pPr>
    </w:p>
    <w:p w:rsidR="005927B5" w:rsidRPr="005927B5" w:rsidRDefault="005927B5" w:rsidP="005927B5">
      <w:pPr>
        <w:ind w:left="1080"/>
        <w:rPr>
          <w:sz w:val="22"/>
        </w:rPr>
      </w:pPr>
      <w:r w:rsidRPr="005927B5">
        <w:rPr>
          <w:sz w:val="22"/>
        </w:rPr>
        <w:sym w:font="Symbol" w:char="F0B7"/>
      </w:r>
      <w:r w:rsidRPr="005927B5">
        <w:rPr>
          <w:sz w:val="22"/>
        </w:rPr>
        <w:t xml:space="preserve">  To conform with all applicable federal, state and other legal requirements;</w:t>
      </w:r>
    </w:p>
    <w:p w:rsidR="005927B5" w:rsidRPr="005927B5" w:rsidRDefault="005927B5" w:rsidP="005927B5">
      <w:pPr>
        <w:ind w:left="1080"/>
        <w:rPr>
          <w:sz w:val="22"/>
        </w:rPr>
      </w:pPr>
      <w:r w:rsidRPr="005927B5">
        <w:rPr>
          <w:sz w:val="22"/>
        </w:rPr>
        <w:sym w:font="Symbol" w:char="F0B7"/>
      </w:r>
      <w:r w:rsidRPr="005927B5">
        <w:rPr>
          <w:sz w:val="22"/>
        </w:rPr>
        <w:t xml:space="preserve">  To adequately safeguard principal;</w:t>
      </w:r>
    </w:p>
    <w:p w:rsidR="005927B5" w:rsidRPr="005927B5" w:rsidRDefault="005927B5" w:rsidP="005927B5">
      <w:pPr>
        <w:ind w:left="1080"/>
        <w:rPr>
          <w:sz w:val="22"/>
        </w:rPr>
      </w:pPr>
      <w:r w:rsidRPr="005927B5">
        <w:rPr>
          <w:sz w:val="22"/>
        </w:rPr>
        <w:sym w:font="Symbol" w:char="F0B7"/>
      </w:r>
      <w:r w:rsidRPr="005927B5">
        <w:rPr>
          <w:sz w:val="22"/>
        </w:rPr>
        <w:t xml:space="preserve">  To provide sufficient liquidity to meet all operating requirements; and</w:t>
      </w:r>
    </w:p>
    <w:p w:rsidR="005927B5" w:rsidRPr="005927B5" w:rsidRDefault="005927B5" w:rsidP="005927B5">
      <w:pPr>
        <w:ind w:left="1080"/>
        <w:rPr>
          <w:sz w:val="22"/>
        </w:rPr>
      </w:pPr>
      <w:r w:rsidRPr="005927B5">
        <w:rPr>
          <w:sz w:val="22"/>
        </w:rPr>
        <w:sym w:font="Symbol" w:char="F0B7"/>
      </w:r>
      <w:r w:rsidRPr="005927B5">
        <w:rPr>
          <w:sz w:val="22"/>
        </w:rPr>
        <w:t xml:space="preserve">  To obtain a reasonable rate of return.</w:t>
      </w:r>
    </w:p>
    <w:p w:rsidR="005927B5" w:rsidRPr="005927B5" w:rsidRDefault="005927B5" w:rsidP="005927B5">
      <w:pPr>
        <w:ind w:left="720"/>
        <w:rPr>
          <w:sz w:val="22"/>
        </w:rPr>
      </w:pPr>
    </w:p>
    <w:p w:rsidR="005927B5" w:rsidRPr="005927B5" w:rsidRDefault="005927B5" w:rsidP="005927B5">
      <w:pPr>
        <w:keepNext/>
        <w:numPr>
          <w:ilvl w:val="0"/>
          <w:numId w:val="1"/>
        </w:numPr>
        <w:outlineLvl w:val="1"/>
        <w:rPr>
          <w:b/>
          <w:bCs/>
          <w:sz w:val="22"/>
        </w:rPr>
      </w:pPr>
      <w:r w:rsidRPr="005927B5">
        <w:rPr>
          <w:b/>
          <w:bCs/>
          <w:sz w:val="22"/>
        </w:rPr>
        <w:t>Delegation of Authority</w:t>
      </w:r>
    </w:p>
    <w:p w:rsidR="005927B5" w:rsidRPr="005927B5" w:rsidRDefault="005927B5" w:rsidP="005927B5">
      <w:pPr>
        <w:rPr>
          <w:sz w:val="22"/>
        </w:rPr>
      </w:pPr>
    </w:p>
    <w:p w:rsidR="005927B5" w:rsidRPr="005927B5" w:rsidRDefault="005927B5" w:rsidP="005927B5">
      <w:pPr>
        <w:ind w:left="720"/>
        <w:rPr>
          <w:sz w:val="22"/>
        </w:rPr>
      </w:pPr>
      <w:r w:rsidRPr="005927B5">
        <w:rPr>
          <w:sz w:val="22"/>
        </w:rPr>
        <w:t>The responsibility for administration of the investment program is delegated to the President/CEO who shall establish procedures, subject to Board approval, for the operation of the investment program consistent with these investment guidelines.  Such procedures shall include an adequate internal control structure to provide a satisfactory level of accountability based on a database or records incorporating description and amounts of investments, transaction dates, and other relevant information.</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t>Prudence</w:t>
      </w:r>
    </w:p>
    <w:p w:rsidR="005927B5" w:rsidRPr="005927B5" w:rsidRDefault="005927B5" w:rsidP="005927B5">
      <w:pPr>
        <w:rPr>
          <w:b/>
          <w:bCs/>
          <w:sz w:val="22"/>
        </w:rPr>
      </w:pPr>
    </w:p>
    <w:p w:rsidR="005927B5" w:rsidRPr="005927B5" w:rsidRDefault="005927B5" w:rsidP="005927B5">
      <w:pPr>
        <w:ind w:left="720"/>
        <w:rPr>
          <w:sz w:val="22"/>
        </w:rPr>
      </w:pPr>
      <w:r w:rsidRPr="005927B5">
        <w:rPr>
          <w:sz w:val="22"/>
        </w:rPr>
        <w:t>All participants in the investment process shall seek to act responsibly as custodians of the public trust and shall avoid any transaction that might impair public confidence in the Corporation.</w:t>
      </w:r>
    </w:p>
    <w:p w:rsidR="005927B5" w:rsidRPr="005927B5" w:rsidRDefault="005927B5" w:rsidP="005927B5">
      <w:pPr>
        <w:ind w:left="720"/>
        <w:rPr>
          <w:sz w:val="22"/>
        </w:rPr>
      </w:pPr>
    </w:p>
    <w:p w:rsidR="005927B5" w:rsidRPr="005927B5" w:rsidRDefault="005927B5" w:rsidP="005927B5">
      <w:pPr>
        <w:ind w:left="720"/>
        <w:rPr>
          <w:sz w:val="22"/>
        </w:rPr>
      </w:pPr>
      <w:r w:rsidRPr="005927B5">
        <w:rPr>
          <w:sz w:val="22"/>
        </w:rPr>
        <w:t>Investments shall be made with judgment and care, under circumstances then prevailing, which persons of prudence, discretion and intelligence exercise in the management of their own affairs, not for speculation, but for investment, considering the safety of the principal as well as the probable income to be derived.</w:t>
      </w:r>
    </w:p>
    <w:p w:rsidR="005927B5" w:rsidRPr="005927B5" w:rsidRDefault="005927B5" w:rsidP="005927B5">
      <w:pPr>
        <w:ind w:left="720"/>
        <w:rPr>
          <w:sz w:val="22"/>
        </w:rPr>
      </w:pPr>
    </w:p>
    <w:p w:rsidR="005927B5" w:rsidRPr="005927B5" w:rsidRDefault="005927B5" w:rsidP="005927B5">
      <w:pPr>
        <w:ind w:left="720"/>
        <w:rPr>
          <w:sz w:val="22"/>
        </w:rPr>
      </w:pPr>
      <w:r w:rsidRPr="005927B5">
        <w:rPr>
          <w:sz w:val="22"/>
        </w:rPr>
        <w:t>Consistent with CEDC’s Conflict of Interest policy, all participants involved in the investment process shall refrain from personal business activity that could conflict with proper execution of the investment program, or which could impair their ability to make impartial investment decisions.</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t>Diversification</w:t>
      </w:r>
    </w:p>
    <w:p w:rsidR="005927B5" w:rsidRPr="005927B5" w:rsidRDefault="005927B5" w:rsidP="005927B5">
      <w:pPr>
        <w:ind w:left="720"/>
        <w:rPr>
          <w:b/>
          <w:bCs/>
          <w:sz w:val="22"/>
        </w:rPr>
      </w:pPr>
    </w:p>
    <w:p w:rsidR="005927B5" w:rsidRPr="005927B5" w:rsidRDefault="005927B5" w:rsidP="005927B5">
      <w:pPr>
        <w:ind w:left="720"/>
        <w:rPr>
          <w:sz w:val="22"/>
        </w:rPr>
      </w:pPr>
      <w:r w:rsidRPr="005927B5">
        <w:rPr>
          <w:sz w:val="22"/>
        </w:rPr>
        <w:t>It is the policy of the Corporation to diversify its deposits and investments by financial institution such that the Corporation’s deposits and investments do not exceed FDIC coverage and collateral pledged by such institution.</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lastRenderedPageBreak/>
        <w:t>Internal Controls</w:t>
      </w:r>
    </w:p>
    <w:p w:rsidR="005927B5" w:rsidRPr="005927B5" w:rsidRDefault="005927B5" w:rsidP="005927B5">
      <w:pPr>
        <w:ind w:left="720"/>
        <w:rPr>
          <w:b/>
          <w:bCs/>
          <w:sz w:val="22"/>
        </w:rPr>
      </w:pPr>
    </w:p>
    <w:p w:rsidR="005927B5" w:rsidRPr="005927B5" w:rsidRDefault="005927B5" w:rsidP="005927B5">
      <w:pPr>
        <w:ind w:left="720"/>
        <w:rPr>
          <w:sz w:val="22"/>
        </w:rPr>
      </w:pPr>
      <w:r w:rsidRPr="005927B5">
        <w:rPr>
          <w:sz w:val="22"/>
        </w:rPr>
        <w:t>It is the policy of the Corporation that all moneys collected by any officer or employee of the Corporation be transferred to the President/CEO or his designee within 5 days of receipt for deposit into the Corporation’s account.</w:t>
      </w:r>
    </w:p>
    <w:p w:rsidR="005927B5" w:rsidRPr="005927B5" w:rsidRDefault="005927B5" w:rsidP="005927B5">
      <w:pPr>
        <w:ind w:left="720"/>
        <w:rPr>
          <w:sz w:val="22"/>
        </w:rPr>
      </w:pPr>
    </w:p>
    <w:p w:rsidR="005927B5" w:rsidRPr="005927B5" w:rsidRDefault="005927B5" w:rsidP="005927B5">
      <w:pPr>
        <w:ind w:left="720"/>
        <w:rPr>
          <w:sz w:val="22"/>
        </w:rPr>
      </w:pPr>
      <w:r w:rsidRPr="005927B5">
        <w:rPr>
          <w:sz w:val="22"/>
        </w:rPr>
        <w:t>The President/CEO is responsible for establishing and maintaining an internal control structure to provide reasonable, but not absolute, assurance that deposits and investments are safeguarded against loss from unauthorized use or disposition, that transactions are executed in accordance with management’s authorization and recorded properly, and are managed in compliance with applicable laws and regulations.</w:t>
      </w:r>
    </w:p>
    <w:p w:rsidR="005927B5" w:rsidRPr="005927B5" w:rsidRDefault="005927B5" w:rsidP="005927B5">
      <w:pPr>
        <w:ind w:left="720"/>
        <w:rPr>
          <w:sz w:val="22"/>
        </w:rPr>
      </w:pPr>
    </w:p>
    <w:p w:rsidR="005927B5" w:rsidRPr="005927B5" w:rsidRDefault="005927B5" w:rsidP="005927B5">
      <w:pPr>
        <w:numPr>
          <w:ilvl w:val="0"/>
          <w:numId w:val="1"/>
        </w:numPr>
        <w:jc w:val="both"/>
        <w:rPr>
          <w:b/>
          <w:bCs/>
          <w:sz w:val="22"/>
        </w:rPr>
      </w:pPr>
      <w:r w:rsidRPr="005927B5">
        <w:rPr>
          <w:b/>
          <w:bCs/>
          <w:sz w:val="22"/>
        </w:rPr>
        <w:t>Designation of Authorized Depositories</w:t>
      </w:r>
    </w:p>
    <w:p w:rsidR="005927B5" w:rsidRPr="005927B5" w:rsidRDefault="005927B5" w:rsidP="005927B5">
      <w:pPr>
        <w:ind w:left="720"/>
        <w:jc w:val="both"/>
        <w:rPr>
          <w:b/>
          <w:bCs/>
          <w:sz w:val="22"/>
        </w:rPr>
      </w:pPr>
    </w:p>
    <w:p w:rsidR="005927B5" w:rsidRPr="005927B5" w:rsidRDefault="005927B5" w:rsidP="005927B5">
      <w:pPr>
        <w:ind w:left="720"/>
        <w:jc w:val="both"/>
        <w:rPr>
          <w:sz w:val="22"/>
        </w:rPr>
      </w:pPr>
      <w:r w:rsidRPr="005927B5">
        <w:rPr>
          <w:sz w:val="22"/>
        </w:rPr>
        <w:t xml:space="preserve">The banks and trust companies authorized for the deposit of </w:t>
      </w:r>
      <w:proofErr w:type="gramStart"/>
      <w:r w:rsidRPr="005927B5">
        <w:rPr>
          <w:sz w:val="22"/>
        </w:rPr>
        <w:t>monies,:</w:t>
      </w:r>
      <w:proofErr w:type="gramEnd"/>
    </w:p>
    <w:p w:rsidR="005927B5" w:rsidRPr="005927B5" w:rsidRDefault="005927B5" w:rsidP="005927B5">
      <w:pPr>
        <w:ind w:left="720"/>
        <w:jc w:val="both"/>
        <w:rPr>
          <w:sz w:val="22"/>
        </w:rPr>
      </w:pPr>
    </w:p>
    <w:p w:rsidR="005927B5" w:rsidRPr="005927B5" w:rsidRDefault="005927B5" w:rsidP="005927B5">
      <w:pPr>
        <w:ind w:left="720"/>
        <w:rPr>
          <w:sz w:val="22"/>
          <w:u w:val="single"/>
        </w:rPr>
      </w:pPr>
      <w:r w:rsidRPr="005927B5">
        <w:rPr>
          <w:sz w:val="22"/>
        </w:rPr>
        <w:tab/>
      </w:r>
      <w:r w:rsidRPr="005927B5">
        <w:rPr>
          <w:sz w:val="22"/>
          <w:u w:val="single"/>
        </w:rPr>
        <w:t>Depository</w:t>
      </w:r>
    </w:p>
    <w:p w:rsidR="005927B5" w:rsidRPr="005927B5" w:rsidRDefault="005927B5" w:rsidP="005927B5">
      <w:pPr>
        <w:ind w:left="720"/>
        <w:rPr>
          <w:sz w:val="22"/>
        </w:rPr>
      </w:pPr>
      <w:r w:rsidRPr="005927B5">
        <w:rPr>
          <w:sz w:val="22"/>
        </w:rPr>
        <w:tab/>
        <w:t>Community Bank formerly Kinderhook Bank</w:t>
      </w:r>
    </w:p>
    <w:p w:rsidR="005927B5" w:rsidRPr="005927B5" w:rsidRDefault="005927B5" w:rsidP="005927B5">
      <w:pPr>
        <w:ind w:left="720"/>
        <w:rPr>
          <w:sz w:val="22"/>
        </w:rPr>
      </w:pPr>
      <w:r w:rsidRPr="005927B5">
        <w:rPr>
          <w:i/>
          <w:sz w:val="22"/>
        </w:rPr>
        <w:tab/>
      </w:r>
      <w:r w:rsidRPr="005927B5">
        <w:rPr>
          <w:sz w:val="22"/>
        </w:rPr>
        <w:t>Key Bank formerly First Niagara Bank</w:t>
      </w:r>
    </w:p>
    <w:p w:rsidR="005927B5" w:rsidRPr="005927B5" w:rsidRDefault="005927B5" w:rsidP="005927B5">
      <w:pPr>
        <w:ind w:left="720"/>
        <w:rPr>
          <w:sz w:val="22"/>
        </w:rPr>
      </w:pPr>
      <w:r w:rsidRPr="005927B5">
        <w:rPr>
          <w:sz w:val="22"/>
        </w:rPr>
        <w:tab/>
        <w:t>TD Bank</w:t>
      </w:r>
    </w:p>
    <w:p w:rsidR="005927B5" w:rsidRPr="005927B5" w:rsidRDefault="005927B5" w:rsidP="005927B5">
      <w:pPr>
        <w:ind w:left="720"/>
        <w:rPr>
          <w:sz w:val="22"/>
        </w:rPr>
      </w:pPr>
      <w:r w:rsidRPr="005927B5">
        <w:rPr>
          <w:sz w:val="22"/>
        </w:rPr>
        <w:tab/>
        <w:t>The Bank of Greene County</w:t>
      </w:r>
    </w:p>
    <w:p w:rsidR="005927B5" w:rsidRPr="005927B5" w:rsidRDefault="005927B5" w:rsidP="005927B5">
      <w:pPr>
        <w:ind w:left="720"/>
        <w:rPr>
          <w:sz w:val="22"/>
        </w:rPr>
      </w:pPr>
      <w:r w:rsidRPr="005927B5">
        <w:rPr>
          <w:sz w:val="22"/>
        </w:rPr>
        <w:tab/>
        <w:t>Berkshire Bank</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t>Collateralizing of Deposits</w:t>
      </w:r>
    </w:p>
    <w:p w:rsidR="005927B5" w:rsidRPr="005927B5" w:rsidRDefault="005927B5" w:rsidP="005927B5">
      <w:pPr>
        <w:ind w:left="720"/>
        <w:rPr>
          <w:b/>
          <w:bCs/>
          <w:sz w:val="22"/>
        </w:rPr>
      </w:pPr>
    </w:p>
    <w:p w:rsidR="005927B5" w:rsidRPr="005927B5" w:rsidRDefault="005927B5" w:rsidP="005927B5">
      <w:pPr>
        <w:ind w:left="720"/>
        <w:rPr>
          <w:sz w:val="22"/>
        </w:rPr>
      </w:pPr>
      <w:r w:rsidRPr="005927B5">
        <w:rPr>
          <w:sz w:val="22"/>
        </w:rPr>
        <w:t>In accordance with the provisions of General Municipal Law, §10, all deposits of the Corporation, including certificates of deposit and special time deposits, in excess of the amount insured under the provisions of the Federal Deposit Insurance Act shall be secured by a pledge of “eligible securities” with an aggregate market value, as provided by General Municipal Law, §10, equal to the aggregate amount of such deposits (a list of eligible collateral securities are included as Appendix A to this policy).</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t>Safekeeping and Collateralization</w:t>
      </w:r>
    </w:p>
    <w:p w:rsidR="005927B5" w:rsidRPr="005927B5" w:rsidRDefault="005927B5" w:rsidP="005927B5">
      <w:pPr>
        <w:ind w:left="720"/>
        <w:rPr>
          <w:b/>
          <w:bCs/>
          <w:sz w:val="22"/>
        </w:rPr>
      </w:pPr>
    </w:p>
    <w:p w:rsidR="005927B5" w:rsidRPr="005927B5" w:rsidRDefault="005927B5" w:rsidP="005927B5">
      <w:pPr>
        <w:ind w:left="720"/>
        <w:rPr>
          <w:sz w:val="22"/>
        </w:rPr>
      </w:pPr>
      <w:r w:rsidRPr="005927B5">
        <w:rPr>
          <w:sz w:val="22"/>
        </w:rPr>
        <w:t>Eligible securities used for collateralizing deposits shall be held by the depositaries trust department and/or a third party bank or trust company subject to security and custodial agreements.</w:t>
      </w:r>
    </w:p>
    <w:p w:rsidR="005927B5" w:rsidRPr="005927B5" w:rsidRDefault="005927B5" w:rsidP="005927B5">
      <w:pPr>
        <w:ind w:left="720"/>
        <w:rPr>
          <w:sz w:val="22"/>
        </w:rPr>
      </w:pPr>
    </w:p>
    <w:p w:rsidR="005927B5" w:rsidRPr="005927B5" w:rsidRDefault="005927B5" w:rsidP="005927B5">
      <w:pPr>
        <w:ind w:left="720"/>
        <w:rPr>
          <w:sz w:val="22"/>
        </w:rPr>
      </w:pPr>
      <w:r w:rsidRPr="005927B5">
        <w:rPr>
          <w:sz w:val="22"/>
        </w:rPr>
        <w:t>The security agreement shall provide that eligible securities are being pledged to secure local government deposits together with agreed upon interest, if any and any costs or expenses arising out of the collection of such deposits upon default.  It shall also provide the conditions under which the securities may be sold, presented for payment, substituted or released and the events, which enable the Corporation to exercise its rights against the pledged securities.  In the event that the securities are not registered or inscribed in the name of the local government, such securities shall be delivered in a form suitable for transfer or with an assignment in blank to the Corporation or its custodial bank.</w:t>
      </w:r>
    </w:p>
    <w:p w:rsidR="005927B5" w:rsidRPr="005927B5" w:rsidRDefault="005927B5" w:rsidP="005927B5">
      <w:pPr>
        <w:ind w:left="720"/>
        <w:rPr>
          <w:sz w:val="22"/>
        </w:rPr>
      </w:pPr>
    </w:p>
    <w:p w:rsidR="005927B5" w:rsidRPr="005927B5" w:rsidRDefault="005927B5" w:rsidP="005927B5">
      <w:pPr>
        <w:ind w:left="720"/>
        <w:rPr>
          <w:sz w:val="22"/>
        </w:rPr>
      </w:pPr>
      <w:r w:rsidRPr="005927B5">
        <w:rPr>
          <w:sz w:val="22"/>
        </w:rPr>
        <w:t xml:space="preserve">The custodial agreement shall provide securities held by the bank or trust company, or agent of and custodian for, the local government, will be kept separate and apart from the general assets of the custodial bank or trust company and will not, in any circumstances, be commingled with or become part of the backing for any other deposit or other </w:t>
      </w:r>
      <w:r w:rsidRPr="005927B5">
        <w:rPr>
          <w:sz w:val="22"/>
        </w:rPr>
        <w:lastRenderedPageBreak/>
        <w:t>liabilities.  The agreement should also describe that the custodian shall confirm the receipt, substitution or release of the securities.  The agreement shall provide for the frequency of revaluation of eligible securities and for the substitution of securities when a change in the rating of a security may cause ineligibility.  Such agreement shall include all provisions necessary to provide the local government a perfected interest in the securities.</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t>Authorized Investments</w:t>
      </w:r>
    </w:p>
    <w:p w:rsidR="005927B5" w:rsidRPr="005927B5" w:rsidRDefault="005927B5" w:rsidP="005927B5">
      <w:pPr>
        <w:ind w:left="720"/>
        <w:rPr>
          <w:b/>
          <w:bCs/>
          <w:sz w:val="22"/>
        </w:rPr>
      </w:pPr>
    </w:p>
    <w:p w:rsidR="005927B5" w:rsidRPr="005927B5" w:rsidRDefault="005927B5" w:rsidP="005927B5">
      <w:pPr>
        <w:ind w:left="720"/>
        <w:rPr>
          <w:sz w:val="22"/>
        </w:rPr>
      </w:pPr>
      <w:r w:rsidRPr="005927B5">
        <w:rPr>
          <w:sz w:val="22"/>
        </w:rPr>
        <w:t>As authorized by General Municipal Law, §11, the Agency authorizes the President/CEO to invest moneys not required for immediate expenditure for terms not to exceed its projected cash flow needs in the following types of investments:</w:t>
      </w:r>
    </w:p>
    <w:p w:rsidR="005927B5" w:rsidRPr="005927B5" w:rsidRDefault="005927B5" w:rsidP="005927B5">
      <w:pPr>
        <w:ind w:left="720"/>
        <w:rPr>
          <w:sz w:val="22"/>
        </w:rPr>
      </w:pPr>
    </w:p>
    <w:p w:rsidR="005927B5" w:rsidRPr="005927B5" w:rsidRDefault="005927B5" w:rsidP="005927B5">
      <w:pPr>
        <w:ind w:left="720"/>
        <w:rPr>
          <w:sz w:val="22"/>
        </w:rPr>
      </w:pPr>
      <w:r w:rsidRPr="005927B5">
        <w:rPr>
          <w:sz w:val="22"/>
        </w:rPr>
        <w:sym w:font="Symbol" w:char="F0B7"/>
      </w:r>
      <w:r w:rsidRPr="005927B5">
        <w:rPr>
          <w:sz w:val="22"/>
        </w:rPr>
        <w:t xml:space="preserve">  Special time deposit accounts;</w:t>
      </w:r>
    </w:p>
    <w:p w:rsidR="005927B5" w:rsidRPr="005927B5" w:rsidRDefault="005927B5" w:rsidP="005927B5">
      <w:pPr>
        <w:ind w:left="720"/>
        <w:rPr>
          <w:sz w:val="22"/>
        </w:rPr>
      </w:pPr>
      <w:r w:rsidRPr="005927B5">
        <w:rPr>
          <w:sz w:val="22"/>
        </w:rPr>
        <w:sym w:font="Symbol" w:char="F0B7"/>
      </w:r>
      <w:r w:rsidRPr="005927B5">
        <w:rPr>
          <w:sz w:val="22"/>
        </w:rPr>
        <w:t xml:space="preserve">  Certificates of deposit;</w:t>
      </w:r>
    </w:p>
    <w:p w:rsidR="005927B5" w:rsidRPr="005927B5" w:rsidRDefault="005927B5" w:rsidP="005927B5">
      <w:pPr>
        <w:ind w:left="720"/>
        <w:rPr>
          <w:sz w:val="22"/>
        </w:rPr>
      </w:pPr>
      <w:r w:rsidRPr="005927B5">
        <w:rPr>
          <w:sz w:val="22"/>
        </w:rPr>
        <w:sym w:font="Symbol" w:char="F0B7"/>
      </w:r>
      <w:r w:rsidRPr="005927B5">
        <w:rPr>
          <w:sz w:val="22"/>
        </w:rPr>
        <w:t xml:space="preserve">  Obligations of the United States of America;</w:t>
      </w:r>
    </w:p>
    <w:p w:rsidR="005927B5" w:rsidRPr="005927B5" w:rsidRDefault="005927B5" w:rsidP="005927B5">
      <w:pPr>
        <w:ind w:left="720"/>
        <w:rPr>
          <w:sz w:val="22"/>
        </w:rPr>
      </w:pPr>
      <w:r w:rsidRPr="005927B5">
        <w:rPr>
          <w:sz w:val="22"/>
        </w:rPr>
        <w:sym w:font="Symbol" w:char="F0B7"/>
      </w:r>
      <w:r w:rsidRPr="005927B5">
        <w:rPr>
          <w:sz w:val="22"/>
        </w:rPr>
        <w:t xml:space="preserve">  Obligations guaranteed by agencies of the United States of America where the payment of principal and interest are guaranteed by the United States of America;</w:t>
      </w:r>
    </w:p>
    <w:p w:rsidR="005927B5" w:rsidRPr="005927B5" w:rsidRDefault="005927B5" w:rsidP="005927B5">
      <w:pPr>
        <w:ind w:left="720"/>
        <w:rPr>
          <w:sz w:val="22"/>
        </w:rPr>
      </w:pPr>
      <w:r w:rsidRPr="005927B5">
        <w:rPr>
          <w:b/>
          <w:bCs/>
          <w:sz w:val="22"/>
        </w:rPr>
        <w:sym w:font="Symbol" w:char="F0B7"/>
      </w:r>
      <w:r w:rsidRPr="005927B5">
        <w:rPr>
          <w:b/>
          <w:bCs/>
          <w:sz w:val="22"/>
        </w:rPr>
        <w:t xml:space="preserve">  </w:t>
      </w:r>
      <w:r w:rsidRPr="005927B5">
        <w:rPr>
          <w:sz w:val="22"/>
        </w:rPr>
        <w:t>Obligations of the State of New York</w:t>
      </w:r>
    </w:p>
    <w:p w:rsidR="005927B5" w:rsidRPr="005927B5" w:rsidRDefault="005927B5" w:rsidP="005927B5">
      <w:pPr>
        <w:ind w:left="720"/>
        <w:rPr>
          <w:sz w:val="22"/>
        </w:rPr>
      </w:pPr>
      <w:r w:rsidRPr="005927B5">
        <w:rPr>
          <w:b/>
          <w:bCs/>
          <w:sz w:val="22"/>
        </w:rPr>
        <w:sym w:font="Symbol" w:char="F0B7"/>
      </w:r>
      <w:r w:rsidRPr="005927B5">
        <w:rPr>
          <w:b/>
          <w:bCs/>
          <w:sz w:val="22"/>
        </w:rPr>
        <w:t xml:space="preserve">  </w:t>
      </w:r>
      <w:r w:rsidRPr="005927B5">
        <w:rPr>
          <w:sz w:val="22"/>
        </w:rPr>
        <w:t>Money market/savings</w:t>
      </w:r>
    </w:p>
    <w:p w:rsidR="005927B5" w:rsidRPr="005927B5" w:rsidRDefault="005927B5" w:rsidP="005927B5">
      <w:pPr>
        <w:ind w:left="720"/>
        <w:rPr>
          <w:b/>
          <w:bCs/>
          <w:sz w:val="22"/>
        </w:rPr>
      </w:pPr>
    </w:p>
    <w:p w:rsidR="005927B5" w:rsidRPr="005927B5" w:rsidRDefault="005927B5" w:rsidP="005927B5">
      <w:pPr>
        <w:ind w:left="720"/>
        <w:rPr>
          <w:sz w:val="22"/>
        </w:rPr>
      </w:pPr>
      <w:r w:rsidRPr="005927B5">
        <w:rPr>
          <w:sz w:val="22"/>
        </w:rPr>
        <w:t>All investment obligations shall be payable or redeemable at the option of the Corporation within such times as the proceeds will be needed to meet expenditures for purposes for which the moneys were provided and, in the case of obligations purchased with the proceeds of bonds or notes, shall be payable or redeemable at the option of the Corporation within one year of the date of purchase.</w:t>
      </w:r>
    </w:p>
    <w:p w:rsidR="005927B5" w:rsidRPr="005927B5" w:rsidRDefault="005927B5" w:rsidP="005927B5">
      <w:pPr>
        <w:ind w:left="720"/>
        <w:rPr>
          <w:sz w:val="22"/>
        </w:rPr>
      </w:pPr>
    </w:p>
    <w:p w:rsidR="005927B5" w:rsidRPr="005927B5" w:rsidRDefault="005927B5" w:rsidP="005927B5">
      <w:pPr>
        <w:numPr>
          <w:ilvl w:val="0"/>
          <w:numId w:val="1"/>
        </w:numPr>
        <w:rPr>
          <w:b/>
          <w:bCs/>
          <w:sz w:val="22"/>
        </w:rPr>
      </w:pPr>
      <w:r w:rsidRPr="005927B5">
        <w:rPr>
          <w:b/>
          <w:bCs/>
          <w:sz w:val="22"/>
        </w:rPr>
        <w:t>Quarterly Reporting Requirements</w:t>
      </w:r>
    </w:p>
    <w:p w:rsidR="005927B5" w:rsidRPr="005927B5" w:rsidRDefault="005927B5" w:rsidP="005927B5">
      <w:pPr>
        <w:ind w:left="720"/>
        <w:rPr>
          <w:b/>
          <w:bCs/>
          <w:sz w:val="22"/>
        </w:rPr>
      </w:pPr>
    </w:p>
    <w:p w:rsidR="005927B5" w:rsidRPr="005927B5" w:rsidRDefault="005927B5" w:rsidP="005927B5">
      <w:pPr>
        <w:ind w:left="720"/>
        <w:jc w:val="both"/>
        <w:rPr>
          <w:sz w:val="22"/>
        </w:rPr>
      </w:pPr>
      <w:r w:rsidRPr="005927B5">
        <w:rPr>
          <w:sz w:val="22"/>
        </w:rPr>
        <w:t>Each quarter, at the regularly scheduled monthly meeting of the Corporation’s Board of Trustees, the Treasurer shall prepare a report of the Corporation’s cash and investment balances as of the last day of the preceding month or a later date, if available.  At a minimum such report shall contain:</w:t>
      </w:r>
    </w:p>
    <w:p w:rsidR="005927B5" w:rsidRPr="005927B5" w:rsidRDefault="005927B5" w:rsidP="005927B5">
      <w:pPr>
        <w:ind w:left="720"/>
        <w:jc w:val="both"/>
        <w:rPr>
          <w:sz w:val="22"/>
        </w:rPr>
      </w:pPr>
    </w:p>
    <w:p w:rsidR="005927B5" w:rsidRPr="005927B5" w:rsidRDefault="005927B5" w:rsidP="005927B5">
      <w:pPr>
        <w:ind w:left="720"/>
        <w:jc w:val="both"/>
        <w:rPr>
          <w:sz w:val="22"/>
        </w:rPr>
      </w:pPr>
      <w:r w:rsidRPr="005927B5">
        <w:rPr>
          <w:sz w:val="22"/>
        </w:rPr>
        <w:tab/>
      </w:r>
      <w:r w:rsidRPr="005927B5">
        <w:rPr>
          <w:sz w:val="22"/>
        </w:rPr>
        <w:sym w:font="Symbol" w:char="F0B7"/>
      </w:r>
      <w:r w:rsidRPr="005927B5">
        <w:rPr>
          <w:sz w:val="22"/>
        </w:rPr>
        <w:t xml:space="preserve">  The name of each financial institution</w:t>
      </w:r>
    </w:p>
    <w:p w:rsidR="005927B5" w:rsidRPr="005927B5" w:rsidRDefault="005927B5" w:rsidP="005927B5">
      <w:pPr>
        <w:ind w:left="720"/>
        <w:jc w:val="both"/>
        <w:rPr>
          <w:sz w:val="22"/>
        </w:rPr>
      </w:pPr>
      <w:r w:rsidRPr="005927B5">
        <w:rPr>
          <w:sz w:val="22"/>
        </w:rPr>
        <w:tab/>
      </w:r>
      <w:r w:rsidRPr="005927B5">
        <w:rPr>
          <w:sz w:val="22"/>
        </w:rPr>
        <w:sym w:font="Symbol" w:char="F0B7"/>
      </w:r>
      <w:r w:rsidRPr="005927B5">
        <w:rPr>
          <w:sz w:val="22"/>
        </w:rPr>
        <w:t xml:space="preserve">  Type of account (checking, savings, certificate of deposit, etc.)</w:t>
      </w:r>
    </w:p>
    <w:p w:rsidR="005927B5" w:rsidRPr="005927B5" w:rsidRDefault="005927B5" w:rsidP="005927B5">
      <w:pPr>
        <w:ind w:left="720"/>
        <w:jc w:val="both"/>
        <w:rPr>
          <w:sz w:val="22"/>
        </w:rPr>
      </w:pPr>
      <w:r w:rsidRPr="005927B5">
        <w:rPr>
          <w:sz w:val="22"/>
        </w:rPr>
        <w:tab/>
      </w:r>
      <w:r w:rsidRPr="005927B5">
        <w:rPr>
          <w:sz w:val="22"/>
        </w:rPr>
        <w:sym w:font="Symbol" w:char="F0B7"/>
      </w:r>
      <w:r w:rsidRPr="005927B5">
        <w:rPr>
          <w:sz w:val="22"/>
        </w:rPr>
        <w:t xml:space="preserve">  Current rate of interest</w:t>
      </w:r>
    </w:p>
    <w:p w:rsidR="005927B5" w:rsidRPr="005927B5" w:rsidRDefault="005927B5" w:rsidP="005927B5">
      <w:pPr>
        <w:ind w:left="720"/>
        <w:jc w:val="both"/>
        <w:rPr>
          <w:sz w:val="22"/>
        </w:rPr>
      </w:pPr>
      <w:r w:rsidRPr="005927B5">
        <w:rPr>
          <w:sz w:val="22"/>
        </w:rPr>
        <w:tab/>
      </w:r>
      <w:r w:rsidRPr="005927B5">
        <w:rPr>
          <w:sz w:val="22"/>
        </w:rPr>
        <w:sym w:font="Symbol" w:char="F0B7"/>
      </w:r>
      <w:r w:rsidRPr="005927B5">
        <w:rPr>
          <w:sz w:val="22"/>
        </w:rPr>
        <w:t xml:space="preserve">  Account balance as of the last day of the previous month</w:t>
      </w:r>
    </w:p>
    <w:p w:rsidR="005927B5" w:rsidRPr="005927B5" w:rsidRDefault="005927B5" w:rsidP="005927B5">
      <w:pPr>
        <w:ind w:left="720"/>
        <w:jc w:val="both"/>
        <w:rPr>
          <w:sz w:val="22"/>
        </w:rPr>
      </w:pPr>
      <w:r w:rsidRPr="005927B5">
        <w:rPr>
          <w:sz w:val="22"/>
        </w:rPr>
        <w:tab/>
      </w:r>
    </w:p>
    <w:p w:rsidR="005927B5" w:rsidRPr="005927B5" w:rsidRDefault="005927B5" w:rsidP="005927B5">
      <w:pPr>
        <w:ind w:left="720"/>
        <w:jc w:val="both"/>
        <w:rPr>
          <w:sz w:val="22"/>
        </w:rPr>
      </w:pPr>
    </w:p>
    <w:p w:rsidR="005927B5" w:rsidRPr="005927B5" w:rsidRDefault="005927B5" w:rsidP="005927B5">
      <w:pPr>
        <w:jc w:val="both"/>
        <w:rPr>
          <w:b/>
          <w:bCs/>
          <w:sz w:val="22"/>
        </w:rPr>
      </w:pPr>
      <w:r w:rsidRPr="005927B5">
        <w:rPr>
          <w:b/>
          <w:bCs/>
          <w:sz w:val="22"/>
        </w:rPr>
        <w:t>THIS POLICY SHALL BE REVIEWED AND ADOPTED ANNUALLY</w:t>
      </w:r>
      <w:r w:rsidRPr="005927B5">
        <w:rPr>
          <w:sz w:val="22"/>
        </w:rPr>
        <w:t>.</w:t>
      </w:r>
      <w:r w:rsidRPr="005927B5">
        <w:rPr>
          <w:b/>
          <w:bCs/>
          <w:sz w:val="22"/>
        </w:rPr>
        <w:t xml:space="preserve">                </w:t>
      </w:r>
    </w:p>
    <w:p w:rsidR="005927B5" w:rsidRPr="005927B5" w:rsidRDefault="005927B5" w:rsidP="005927B5">
      <w:pPr>
        <w:ind w:left="1620"/>
        <w:rPr>
          <w:sz w:val="22"/>
        </w:rPr>
      </w:pPr>
    </w:p>
    <w:p w:rsidR="005927B5" w:rsidRPr="005927B5" w:rsidRDefault="005927B5" w:rsidP="005927B5">
      <w:pPr>
        <w:ind w:left="1620"/>
        <w:rPr>
          <w:sz w:val="22"/>
        </w:rPr>
      </w:pPr>
    </w:p>
    <w:p w:rsidR="005927B5" w:rsidRPr="005927B5" w:rsidRDefault="005927B5" w:rsidP="005927B5">
      <w:pPr>
        <w:ind w:left="1620"/>
        <w:rPr>
          <w:sz w:val="22"/>
        </w:rPr>
      </w:pPr>
    </w:p>
    <w:p w:rsidR="005927B5" w:rsidRPr="005927B5" w:rsidRDefault="005927B5" w:rsidP="005927B5">
      <w:pPr>
        <w:ind w:left="1620"/>
        <w:rPr>
          <w:sz w:val="22"/>
        </w:rPr>
      </w:pPr>
    </w:p>
    <w:p w:rsidR="005927B5" w:rsidRPr="005927B5" w:rsidRDefault="005927B5" w:rsidP="005927B5">
      <w:pPr>
        <w:ind w:left="1620"/>
        <w:rPr>
          <w:sz w:val="22"/>
        </w:rPr>
      </w:pPr>
      <w:r w:rsidRPr="005927B5">
        <w:rPr>
          <w:sz w:val="22"/>
        </w:rPr>
        <w:t>Reviewed and approved with changes October 29, 2019</w:t>
      </w:r>
    </w:p>
    <w:p w:rsidR="005927B5" w:rsidRDefault="005927B5" w:rsidP="005927B5">
      <w:pPr>
        <w:keepNext/>
        <w:tabs>
          <w:tab w:val="left" w:pos="3225"/>
          <w:tab w:val="center" w:pos="5130"/>
        </w:tabs>
        <w:ind w:left="1620"/>
        <w:outlineLvl w:val="3"/>
        <w:rPr>
          <w:b/>
          <w:bCs/>
          <w:sz w:val="22"/>
        </w:rPr>
      </w:pPr>
      <w:r w:rsidRPr="005927B5">
        <w:rPr>
          <w:b/>
          <w:bCs/>
          <w:sz w:val="22"/>
        </w:rPr>
        <w:lastRenderedPageBreak/>
        <w:tab/>
      </w:r>
    </w:p>
    <w:p w:rsidR="005927B5" w:rsidRDefault="005927B5" w:rsidP="005927B5">
      <w:pPr>
        <w:keepNext/>
        <w:tabs>
          <w:tab w:val="left" w:pos="3225"/>
          <w:tab w:val="center" w:pos="5130"/>
        </w:tabs>
        <w:ind w:left="1620"/>
        <w:outlineLvl w:val="3"/>
        <w:rPr>
          <w:b/>
          <w:bCs/>
          <w:sz w:val="22"/>
        </w:rPr>
      </w:pPr>
    </w:p>
    <w:p w:rsidR="005927B5" w:rsidRDefault="005927B5" w:rsidP="005927B5">
      <w:pPr>
        <w:keepNext/>
        <w:tabs>
          <w:tab w:val="left" w:pos="3225"/>
          <w:tab w:val="center" w:pos="5130"/>
        </w:tabs>
        <w:ind w:left="1620"/>
        <w:outlineLvl w:val="3"/>
        <w:rPr>
          <w:b/>
          <w:bCs/>
          <w:sz w:val="22"/>
        </w:rPr>
      </w:pPr>
    </w:p>
    <w:p w:rsidR="005927B5" w:rsidRPr="005927B5" w:rsidRDefault="005927B5" w:rsidP="005927B5">
      <w:pPr>
        <w:keepNext/>
        <w:tabs>
          <w:tab w:val="left" w:pos="3225"/>
          <w:tab w:val="center" w:pos="5130"/>
        </w:tabs>
        <w:ind w:left="1620"/>
        <w:outlineLvl w:val="3"/>
        <w:rPr>
          <w:b/>
          <w:bCs/>
          <w:sz w:val="22"/>
        </w:rPr>
      </w:pPr>
      <w:r>
        <w:rPr>
          <w:b/>
          <w:bCs/>
          <w:sz w:val="22"/>
        </w:rPr>
        <w:tab/>
      </w:r>
      <w:r w:rsidRPr="005927B5">
        <w:rPr>
          <w:b/>
          <w:bCs/>
          <w:sz w:val="22"/>
        </w:rPr>
        <w:t>APPENDIX A</w:t>
      </w:r>
    </w:p>
    <w:p w:rsidR="005927B5" w:rsidRPr="005927B5" w:rsidRDefault="005927B5" w:rsidP="005927B5">
      <w:pPr>
        <w:rPr>
          <w:sz w:val="22"/>
        </w:rPr>
      </w:pPr>
    </w:p>
    <w:p w:rsidR="005927B5" w:rsidRPr="005927B5" w:rsidRDefault="005927B5" w:rsidP="005927B5">
      <w:pPr>
        <w:rPr>
          <w:sz w:val="22"/>
        </w:rPr>
      </w:pPr>
      <w:r w:rsidRPr="005927B5">
        <w:rPr>
          <w:sz w:val="22"/>
        </w:rPr>
        <w:t>Schedule of securities eligible for collateralization of Corporation deposits:</w:t>
      </w:r>
    </w:p>
    <w:p w:rsidR="005927B5" w:rsidRPr="005927B5" w:rsidRDefault="005927B5" w:rsidP="005927B5">
      <w:pPr>
        <w:rPr>
          <w:sz w:val="22"/>
        </w:rPr>
      </w:pPr>
    </w:p>
    <w:p w:rsidR="005927B5" w:rsidRPr="005927B5" w:rsidRDefault="005927B5" w:rsidP="005927B5">
      <w:pPr>
        <w:numPr>
          <w:ilvl w:val="0"/>
          <w:numId w:val="2"/>
        </w:numPr>
        <w:ind w:left="734" w:hanging="187"/>
        <w:rPr>
          <w:sz w:val="22"/>
        </w:rPr>
      </w:pPr>
      <w:r w:rsidRPr="005927B5">
        <w:rPr>
          <w:sz w:val="22"/>
        </w:rPr>
        <w:t>Obligations issued, or fully insured or guaranteed as to the payment of principal and interest, by the United States of America, an agency thereof or a United States government sponsored corporation.</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Obligations partially insured or guaranteed by any agency of the United States of America, at a proportion of the Market Value of the obligation that represents the amount of the insurance or guaranty.</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Obligations issued or fully insured or guaranteed by the State of New York, obligations issued by a Municipal Corporation, school district or District Corporation of such State or obligations of any public benefit corporation that under a specific State statue may be accepted as security for deposit of public moneys.</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Obligations issued by states (other than the State of New York) of the United States rated in one of the three highest rating categories by at least one nationally recognized statistical rating organization.</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Obligations of Puerto Rico rated in one of the three highest rating categories by at least one nationally recognized statistical rating organization.</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Obligations of counties, cities and other governmental entities of a state other than the State of New York having the power to levy taxes that are backed by the full faith and credit of such governmental entity and rated in one of the three highest rating categories by at least one nationally recognized statistical rating organization.</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Obligations of domestic corporations rated in one of the two highest rating categories by at least one nationally statistical rating organization.</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Any mortgage related securities, as defined in the Securities Exchange Act of 1934, as amended, which may be purchased by banks under the limitations established by bank regulatory agencies.</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 xml:space="preserve">Commercial paper and bankers’ acceptances issued by a bank, other than the Bank, rated in the highest short term category by at least one nationally recognized statistical rating organization and having maturities of </w:t>
      </w:r>
      <w:proofErr w:type="spellStart"/>
      <w:r w:rsidRPr="005927B5">
        <w:rPr>
          <w:sz w:val="22"/>
        </w:rPr>
        <w:t>not longer</w:t>
      </w:r>
      <w:proofErr w:type="spellEnd"/>
      <w:r w:rsidRPr="005927B5">
        <w:rPr>
          <w:sz w:val="22"/>
        </w:rPr>
        <w:t xml:space="preserve"> than 60 days from the date they are pledged.</w:t>
      </w:r>
    </w:p>
    <w:p w:rsidR="005927B5" w:rsidRPr="005927B5" w:rsidRDefault="005927B5" w:rsidP="005927B5">
      <w:pPr>
        <w:rPr>
          <w:sz w:val="22"/>
        </w:rPr>
      </w:pPr>
    </w:p>
    <w:p w:rsidR="005927B5" w:rsidRPr="005927B5" w:rsidRDefault="005927B5" w:rsidP="005927B5">
      <w:pPr>
        <w:numPr>
          <w:ilvl w:val="0"/>
          <w:numId w:val="2"/>
        </w:numPr>
        <w:rPr>
          <w:sz w:val="22"/>
        </w:rPr>
      </w:pPr>
      <w:r w:rsidRPr="005927B5">
        <w:rPr>
          <w:sz w:val="22"/>
        </w:rPr>
        <w:t>Zero coupon obligations of the United States government marketed as “Treasury Strips”.</w:t>
      </w:r>
    </w:p>
    <w:p w:rsidR="0083644F" w:rsidRDefault="0083644F"/>
    <w:p w:rsidR="005927B5" w:rsidRDefault="005927B5" w:rsidP="0083644F">
      <w:pPr>
        <w:jc w:val="center"/>
        <w:rPr>
          <w:b/>
        </w:rPr>
      </w:pPr>
    </w:p>
    <w:p w:rsidR="005927B5" w:rsidRDefault="005927B5" w:rsidP="0083644F">
      <w:pPr>
        <w:jc w:val="center"/>
        <w:rPr>
          <w:b/>
        </w:rPr>
      </w:pPr>
    </w:p>
    <w:p w:rsidR="005927B5" w:rsidRDefault="005927B5" w:rsidP="0083644F">
      <w:pPr>
        <w:jc w:val="center"/>
        <w:rPr>
          <w:b/>
        </w:rPr>
      </w:pPr>
    </w:p>
    <w:p w:rsidR="005927B5" w:rsidRDefault="005927B5" w:rsidP="0083644F">
      <w:pPr>
        <w:jc w:val="center"/>
        <w:rPr>
          <w:b/>
        </w:rPr>
      </w:pPr>
    </w:p>
    <w:p w:rsidR="0083644F" w:rsidRDefault="0083644F" w:rsidP="0083644F">
      <w:pPr>
        <w:jc w:val="center"/>
        <w:rPr>
          <w:b/>
        </w:rPr>
      </w:pPr>
      <w:r w:rsidRPr="0083644F">
        <w:rPr>
          <w:b/>
        </w:rPr>
        <w:lastRenderedPageBreak/>
        <w:t>Schedule B</w:t>
      </w:r>
    </w:p>
    <w:p w:rsidR="005927B5" w:rsidRDefault="005927B5" w:rsidP="0083644F">
      <w:pPr>
        <w:jc w:val="center"/>
        <w:rPr>
          <w:b/>
        </w:rPr>
      </w:pPr>
    </w:p>
    <w:p w:rsidR="005927B5" w:rsidRPr="0083644F" w:rsidRDefault="005927B5" w:rsidP="0083644F">
      <w:pPr>
        <w:jc w:val="center"/>
        <w:rPr>
          <w:b/>
        </w:rPr>
      </w:pPr>
      <w:r>
        <w:rPr>
          <w:b/>
        </w:rPr>
        <w:t>2019 Audit</w:t>
      </w:r>
    </w:p>
    <w:sectPr w:rsidR="005927B5" w:rsidRPr="008364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3BC"/>
    <w:multiLevelType w:val="hybridMultilevel"/>
    <w:tmpl w:val="C416049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B0402F"/>
    <w:multiLevelType w:val="hybridMultilevel"/>
    <w:tmpl w:val="F5F0C0A8"/>
    <w:lvl w:ilvl="0" w:tplc="7F60F7D4">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3C"/>
    <w:rsid w:val="0005133E"/>
    <w:rsid w:val="000A4620"/>
    <w:rsid w:val="000E4CFE"/>
    <w:rsid w:val="0012397D"/>
    <w:rsid w:val="002A1465"/>
    <w:rsid w:val="004E7149"/>
    <w:rsid w:val="005753DC"/>
    <w:rsid w:val="005927B5"/>
    <w:rsid w:val="006C39EF"/>
    <w:rsid w:val="00713D8F"/>
    <w:rsid w:val="0083644F"/>
    <w:rsid w:val="00862B80"/>
    <w:rsid w:val="008F5075"/>
    <w:rsid w:val="00A5707F"/>
    <w:rsid w:val="00CA5C3C"/>
    <w:rsid w:val="00D3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E418A-3FA5-4B86-BF86-41A3C021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5C3C"/>
    <w:pPr>
      <w:keepNext/>
      <w:outlineLvl w:val="0"/>
    </w:pPr>
    <w:rPr>
      <w:sz w:val="28"/>
    </w:rPr>
  </w:style>
  <w:style w:type="paragraph" w:styleId="Heading2">
    <w:name w:val="heading 2"/>
    <w:basedOn w:val="Normal"/>
    <w:next w:val="Normal"/>
    <w:link w:val="Heading2Char"/>
    <w:qFormat/>
    <w:rsid w:val="00CA5C3C"/>
    <w:pPr>
      <w:keepNext/>
      <w:outlineLvl w:val="1"/>
    </w:pPr>
    <w:rPr>
      <w:b/>
      <w:bCs/>
    </w:rPr>
  </w:style>
  <w:style w:type="paragraph" w:styleId="Heading4">
    <w:name w:val="heading 4"/>
    <w:basedOn w:val="Normal"/>
    <w:next w:val="Normal"/>
    <w:link w:val="Heading4Char"/>
    <w:qFormat/>
    <w:rsid w:val="00CA5C3C"/>
    <w:pPr>
      <w:keepNext/>
      <w:ind w:left="16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C3C"/>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CA5C3C"/>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A5C3C"/>
    <w:rPr>
      <w:rFonts w:ascii="Times New Roman" w:eastAsia="Times New Roman" w:hAnsi="Times New Roman" w:cs="Times New Roman"/>
      <w:b/>
      <w:bCs/>
      <w:sz w:val="24"/>
      <w:szCs w:val="24"/>
    </w:rPr>
  </w:style>
  <w:style w:type="paragraph" w:styleId="BodyTextIndent2">
    <w:name w:val="Body Text Indent 2"/>
    <w:basedOn w:val="Normal"/>
    <w:link w:val="BodyTextIndent2Char"/>
    <w:semiHidden/>
    <w:rsid w:val="00CA5C3C"/>
    <w:pPr>
      <w:ind w:left="720"/>
    </w:pPr>
  </w:style>
  <w:style w:type="character" w:customStyle="1" w:styleId="BodyTextIndent2Char">
    <w:name w:val="Body Text Indent 2 Char"/>
    <w:basedOn w:val="DefaultParagraphFont"/>
    <w:link w:val="BodyTextIndent2"/>
    <w:semiHidden/>
    <w:rsid w:val="00CA5C3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9EF"/>
    <w:rPr>
      <w:rFonts w:ascii="Segoe UI" w:eastAsia="Times New Roman" w:hAnsi="Segoe UI" w:cs="Segoe UI"/>
      <w:sz w:val="18"/>
      <w:szCs w:val="18"/>
    </w:rPr>
  </w:style>
  <w:style w:type="paragraph" w:styleId="NoSpacing">
    <w:name w:val="No Spacing"/>
    <w:uiPriority w:val="1"/>
    <w:qFormat/>
    <w:rsid w:val="000A46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8837</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COLUMBIA ECONOMIC</vt:lpstr>
      <vt:lpstr>DEVELOPMENT CORPORATION</vt:lpstr>
      <vt:lpstr>    2019 Investment Report </vt:lpstr>
      <vt:lpstr>    </vt:lpstr>
      <vt:lpstr>COLUMBIA ECONOMIC DEVELOPMENT CORPORATION</vt:lpstr>
      <vt:lpstr>    INVESTMENT POLICY </vt:lpstr>
      <vt:lpstr>    </vt:lpstr>
      <vt:lpstr>    Scope </vt:lpstr>
      <vt:lpstr>    </vt:lpstr>
      <vt:lpstr>    This investment policy applies to all moneys and other financial resources avail</vt:lpstr>
      <vt:lpstr>    Objectives</vt:lpstr>
      <vt:lpstr>    Delegation of Authority</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Drahushuk</dc:creator>
  <cp:keywords/>
  <dc:description/>
  <cp:lastModifiedBy>Carol Wilber</cp:lastModifiedBy>
  <cp:revision>2</cp:revision>
  <cp:lastPrinted>2020-03-13T14:47:00Z</cp:lastPrinted>
  <dcterms:created xsi:type="dcterms:W3CDTF">2020-03-24T18:37:00Z</dcterms:created>
  <dcterms:modified xsi:type="dcterms:W3CDTF">2020-03-24T18:37:00Z</dcterms:modified>
</cp:coreProperties>
</file>